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4" w:type="pc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044843" w14:paraId="70B4FA87" w14:textId="77777777" w:rsidTr="00044843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BCD04" w14:textId="77777777" w:rsidR="00044843" w:rsidRDefault="00044843">
            <w:pPr>
              <w:keepNext/>
              <w:spacing w:after="200" w:line="276" w:lineRule="auto"/>
              <w:jc w:val="center"/>
              <w:rPr>
                <w:rFonts w:ascii="Times New Roman Bold" w:hAnsi="Times New Roman Bold"/>
                <w:spacing w:val="30"/>
                <w:sz w:val="20"/>
              </w:rPr>
            </w:pPr>
            <w:r>
              <w:rPr>
                <w:rFonts w:ascii="Times New Roman Bold" w:hAnsi="Times New Roman Bold"/>
                <w:noProof/>
                <w:spacing w:val="30"/>
                <w:sz w:val="20"/>
                <w:lang w:val="en-US"/>
              </w:rPr>
              <w:drawing>
                <wp:inline distT="0" distB="0" distL="0" distR="0" wp14:anchorId="0AC9FFFF" wp14:editId="026E7E5B">
                  <wp:extent cx="4676775" cy="876300"/>
                  <wp:effectExtent l="19050" t="0" r="9525" b="0"/>
                  <wp:docPr id="3" name="Picture 1" descr="logo-UO-Facultatea-de-Stiinte-Econom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O-Facultatea-de-Stiinte-Econom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43" w14:paraId="115B3D0B" w14:textId="77777777" w:rsidTr="00044843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9FBF258" w14:textId="77777777" w:rsidR="00044843" w:rsidRDefault="00044843">
            <w:pPr>
              <w:pStyle w:val="AntetUO"/>
              <w:keepNext/>
              <w:spacing w:line="276" w:lineRule="auto"/>
              <w:rPr>
                <w:rFonts w:ascii="Times New Roman" w:eastAsia="Batang" w:hAnsi="Times New Roman" w:cs="Arial"/>
                <w:szCs w:val="20"/>
              </w:rPr>
            </w:pPr>
            <w:bookmarkStart w:id="0" w:name="_Hlk104656291"/>
            <w:r>
              <w:rPr>
                <w:rFonts w:ascii="Times New Roman" w:eastAsia="Batang" w:hAnsi="Times New Roman"/>
                <w:szCs w:val="20"/>
              </w:rPr>
              <w:t>Str. Universităţii, nr. 1, cod poştal 410087, Oradea, jud. Bihor, România</w:t>
            </w:r>
          </w:p>
          <w:p w14:paraId="018D09FE" w14:textId="77777777" w:rsidR="00044843" w:rsidRDefault="00044843">
            <w:pPr>
              <w:pStyle w:val="AntetUO"/>
              <w:keepNext/>
              <w:spacing w:line="276" w:lineRule="auto"/>
              <w:rPr>
                <w:rFonts w:ascii="Times New Roman" w:eastAsia="Batang" w:hAnsi="Times New Roman"/>
                <w:szCs w:val="20"/>
              </w:rPr>
            </w:pPr>
            <w:r>
              <w:rPr>
                <w:rFonts w:ascii="Times New Roman" w:eastAsia="Batang" w:hAnsi="Times New Roman"/>
                <w:szCs w:val="20"/>
              </w:rPr>
              <w:t>Telefon: Secretariat: 0259-408276, 0259-408407; Decanat: 0259-408109; Fax: 0259-408409</w:t>
            </w:r>
          </w:p>
          <w:p w14:paraId="1AC4F798" w14:textId="77777777" w:rsidR="00044843" w:rsidRDefault="00044843">
            <w:pPr>
              <w:keepNext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Web</w:t>
            </w:r>
            <w:r>
              <w:rPr>
                <w:sz w:val="18"/>
                <w:szCs w:val="20"/>
              </w:rPr>
              <w:t xml:space="preserve">: </w:t>
            </w:r>
            <w:hyperlink r:id="rId6" w:history="1">
              <w:r>
                <w:rPr>
                  <w:rStyle w:val="Hyperlink"/>
                  <w:rFonts w:eastAsia="Batang"/>
                  <w:sz w:val="18"/>
                  <w:szCs w:val="20"/>
                </w:rPr>
                <w:t>http://steconomice.uoradea.ro</w:t>
              </w:r>
            </w:hyperlink>
            <w:r>
              <w:rPr>
                <w:rFonts w:ascii="Times New Roman" w:eastAsia="Batang" w:hAnsi="Times New Roman" w:cs="Times New Roman"/>
                <w:sz w:val="18"/>
                <w:szCs w:val="20"/>
              </w:rPr>
              <w:t xml:space="preserve">; E-mail: </w:t>
            </w:r>
            <w:r>
              <w:fldChar w:fldCharType="begin"/>
            </w:r>
            <w:r>
              <w:instrText>HYPERLINK "mailto:steconomice@uoradea.ro"</w:instrText>
            </w:r>
            <w:r>
              <w:fldChar w:fldCharType="separate"/>
            </w:r>
            <w:r>
              <w:rPr>
                <w:rStyle w:val="Hyperlink"/>
                <w:rFonts w:eastAsia="Batang"/>
                <w:sz w:val="18"/>
                <w:szCs w:val="20"/>
              </w:rPr>
              <w:t>steconomice@uoradea.ro</w:t>
            </w:r>
            <w:r>
              <w:fldChar w:fldCharType="end"/>
            </w:r>
          </w:p>
        </w:tc>
      </w:tr>
      <w:bookmarkEnd w:id="0"/>
    </w:tbl>
    <w:tbl>
      <w:tblPr>
        <w:tblpPr w:leftFromText="180" w:rightFromText="180" w:horzAnchor="margin" w:tblpY="-790"/>
        <w:tblW w:w="1018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783"/>
      </w:tblGrid>
      <w:tr w:rsidR="00CF1384" w14:paraId="6B0D8A46" w14:textId="77777777" w:rsidTr="00CF1384">
        <w:trPr>
          <w:cantSplit/>
          <w:trHeight w:val="20"/>
        </w:trPr>
        <w:tc>
          <w:tcPr>
            <w:tcW w:w="2403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74417E29" w14:textId="77777777" w:rsidR="00CF1384" w:rsidRDefault="00CF1384">
            <w:pPr>
              <w:pStyle w:val="StilAntetUOAldin"/>
              <w:keepNext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E512" w14:textId="77777777" w:rsidR="00CF1384" w:rsidRDefault="00CF1384">
            <w:pPr>
              <w:keepNext/>
              <w:rPr>
                <w:rFonts w:ascii="Times New Roman Bold" w:hAnsi="Times New Roman Bold"/>
                <w:spacing w:val="30"/>
                <w:sz w:val="20"/>
                <w:szCs w:val="24"/>
              </w:rPr>
            </w:pPr>
          </w:p>
        </w:tc>
      </w:tr>
      <w:tr w:rsidR="00CF1384" w14:paraId="030B0C37" w14:textId="77777777" w:rsidTr="00CF1384">
        <w:trPr>
          <w:cantSplit/>
          <w:trHeight w:val="687"/>
        </w:trPr>
        <w:tc>
          <w:tcPr>
            <w:tcW w:w="2403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017E9C1D" w14:textId="77777777" w:rsidR="00CF1384" w:rsidRDefault="00CF1384">
            <w:pPr>
              <w:rPr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7137C199" w14:textId="77777777" w:rsidR="00CF1384" w:rsidRDefault="00CF1384">
            <w:pPr>
              <w:keepNext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59E03BC6" w14:textId="77777777" w:rsidR="00432776" w:rsidRPr="00EF7BD5" w:rsidRDefault="00432776" w:rsidP="0043277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7BD5">
        <w:rPr>
          <w:rFonts w:ascii="Times New Roman" w:hAnsi="Times New Roman" w:cs="Times New Roman"/>
          <w:b/>
          <w:sz w:val="24"/>
          <w:szCs w:val="24"/>
        </w:rPr>
        <w:t>Anexa 1</w:t>
      </w:r>
    </w:p>
    <w:p w14:paraId="0A61F1B4" w14:textId="77777777" w:rsidR="00A31F5E" w:rsidRPr="003F62D7" w:rsidRDefault="00432776" w:rsidP="0043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F62D7">
        <w:rPr>
          <w:rFonts w:ascii="Times New Roman" w:hAnsi="Times New Roman" w:cs="Times New Roman"/>
          <w:b/>
          <w:sz w:val="24"/>
          <w:szCs w:val="24"/>
        </w:rPr>
        <w:t xml:space="preserve">DEPARTAMENTUL </w:t>
      </w:r>
      <w:r w:rsidR="003F62D7" w:rsidRPr="003F62D7">
        <w:rPr>
          <w:rFonts w:ascii="Times New Roman" w:hAnsi="Times New Roman" w:cs="Times New Roman"/>
          <w:b/>
          <w:sz w:val="24"/>
          <w:szCs w:val="24"/>
        </w:rPr>
        <w:t>DE</w:t>
      </w:r>
      <w:r w:rsidRPr="003F6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2D7">
        <w:rPr>
          <w:rFonts w:ascii="Times New Roman" w:hAnsi="Times New Roman" w:cs="Times New Roman"/>
          <w:b/>
          <w:smallCaps/>
          <w:sz w:val="24"/>
          <w:szCs w:val="24"/>
        </w:rPr>
        <w:t>Finanțe Contabilitate</w:t>
      </w:r>
    </w:p>
    <w:p w14:paraId="6A82378B" w14:textId="77777777" w:rsidR="00432776" w:rsidRPr="00EF7BD5" w:rsidRDefault="00432776" w:rsidP="004327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BD5">
        <w:rPr>
          <w:rFonts w:ascii="Times New Roman" w:hAnsi="Times New Roman" w:cs="Times New Roman"/>
          <w:bCs/>
          <w:sz w:val="24"/>
          <w:szCs w:val="24"/>
        </w:rPr>
        <w:t>Nr.</w:t>
      </w:r>
      <w:r w:rsidR="00E54E6B">
        <w:rPr>
          <w:rFonts w:ascii="Times New Roman" w:hAnsi="Times New Roman" w:cs="Times New Roman"/>
          <w:bCs/>
          <w:sz w:val="24"/>
          <w:szCs w:val="24"/>
        </w:rPr>
        <w:t>1</w:t>
      </w:r>
      <w:r w:rsidR="00843850">
        <w:rPr>
          <w:rFonts w:ascii="Times New Roman" w:hAnsi="Times New Roman" w:cs="Times New Roman"/>
          <w:bCs/>
          <w:sz w:val="24"/>
          <w:szCs w:val="24"/>
        </w:rPr>
        <w:t>3</w:t>
      </w:r>
      <w:r w:rsidRPr="00EF7BD5">
        <w:rPr>
          <w:rFonts w:ascii="Times New Roman" w:hAnsi="Times New Roman" w:cs="Times New Roman"/>
          <w:bCs/>
          <w:sz w:val="24"/>
          <w:szCs w:val="24"/>
        </w:rPr>
        <w:t>/</w:t>
      </w:r>
      <w:r w:rsidR="00E54E6B">
        <w:rPr>
          <w:rFonts w:ascii="Times New Roman" w:hAnsi="Times New Roman" w:cs="Times New Roman"/>
          <w:bCs/>
          <w:sz w:val="24"/>
          <w:szCs w:val="24"/>
        </w:rPr>
        <w:t>02.02.</w:t>
      </w:r>
      <w:r w:rsidRPr="00EF7BD5">
        <w:rPr>
          <w:rFonts w:ascii="Times New Roman" w:hAnsi="Times New Roman" w:cs="Times New Roman"/>
          <w:bCs/>
          <w:sz w:val="24"/>
          <w:szCs w:val="24"/>
        </w:rPr>
        <w:t>202</w:t>
      </w:r>
      <w:r w:rsidR="00843850">
        <w:rPr>
          <w:rFonts w:ascii="Times New Roman" w:hAnsi="Times New Roman" w:cs="Times New Roman"/>
          <w:bCs/>
          <w:sz w:val="24"/>
          <w:szCs w:val="24"/>
        </w:rPr>
        <w:t>5</w:t>
      </w:r>
    </w:p>
    <w:p w14:paraId="2099AF55" w14:textId="77777777" w:rsidR="00B15BD5" w:rsidRDefault="00B15BD5" w:rsidP="00B15BD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8"/>
          <w:szCs w:val="28"/>
          <w:lang w:val="en-US"/>
        </w:rPr>
      </w:pPr>
      <w:proofErr w:type="spellStart"/>
      <w:r w:rsidRPr="00EF7B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Programul</w:t>
      </w:r>
      <w:proofErr w:type="spellEnd"/>
      <w:r w:rsidRPr="00EF7B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EF7B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studii</w:t>
      </w:r>
      <w:proofErr w:type="spellEnd"/>
      <w:r w:rsidRPr="00EF7B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FINANŢE BĂNCI</w:t>
      </w:r>
    </w:p>
    <w:p w14:paraId="42E80F91" w14:textId="77777777" w:rsidR="008D198C" w:rsidRDefault="008D198C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35"/>
          <w:szCs w:val="35"/>
          <w:lang w:val="en-US"/>
        </w:rPr>
      </w:pPr>
      <w:r>
        <w:rPr>
          <w:rFonts w:ascii="LiberationSerif-Bold" w:hAnsi="LiberationSerif-Bold" w:cs="LiberationSerif-Bold"/>
          <w:b/>
          <w:bCs/>
          <w:color w:val="000000"/>
          <w:sz w:val="35"/>
          <w:szCs w:val="35"/>
          <w:lang w:val="en-US"/>
        </w:rPr>
        <w:t xml:space="preserve">                                      </w:t>
      </w:r>
    </w:p>
    <w:p w14:paraId="5BAA16A6" w14:textId="77777777" w:rsidR="00B15BD5" w:rsidRDefault="008D198C" w:rsidP="00B15BD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35"/>
          <w:szCs w:val="35"/>
          <w:lang w:val="en-US"/>
        </w:rPr>
      </w:pPr>
      <w:r>
        <w:rPr>
          <w:rFonts w:ascii="LiberationSerif-Bold" w:hAnsi="LiberationSerif-Bold" w:cs="LiberationSerif-Bold"/>
          <w:b/>
          <w:bCs/>
          <w:color w:val="000000"/>
          <w:sz w:val="35"/>
          <w:szCs w:val="35"/>
          <w:lang w:val="en-US"/>
        </w:rPr>
        <w:t xml:space="preserve">                      </w:t>
      </w:r>
      <w:r w:rsidR="00B15BD5">
        <w:rPr>
          <w:rFonts w:ascii="LiberationSerif-Bold" w:hAnsi="LiberationSerif-Bold" w:cs="LiberationSerif-Bold"/>
          <w:b/>
          <w:bCs/>
          <w:color w:val="000000"/>
          <w:sz w:val="35"/>
          <w:szCs w:val="35"/>
          <w:lang w:val="en-US"/>
        </w:rPr>
        <w:t>TEMATI</w:t>
      </w:r>
      <w:r w:rsidR="00B15BD5">
        <w:rPr>
          <w:rFonts w:ascii="DejaVuSans-Bold" w:hAnsi="DejaVuSans-Bold" w:cs="DejaVuSans-Bold"/>
          <w:b/>
          <w:bCs/>
          <w:color w:val="000000"/>
          <w:sz w:val="35"/>
          <w:szCs w:val="35"/>
          <w:lang w:val="en-US"/>
        </w:rPr>
        <w:t>CĂ</w:t>
      </w:r>
    </w:p>
    <w:p w14:paraId="2733CA8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PENTRU 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EXAMENUL 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>DE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 FINALIZARE A STUDIILOR</w:t>
      </w:r>
    </w:p>
    <w:p w14:paraId="08EC756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31"/>
          <w:szCs w:val="31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31"/>
          <w:szCs w:val="31"/>
          <w:lang w:val="it-IT"/>
        </w:rPr>
        <w:t xml:space="preserve">UNIVERSITARE DE </w:t>
      </w:r>
      <w:r w:rsidRPr="00B6289C">
        <w:rPr>
          <w:rFonts w:ascii="DejaVuSans-Bold" w:hAnsi="DejaVuSans-Bold" w:cs="DejaVuSans-Bold"/>
          <w:b/>
          <w:bCs/>
          <w:color w:val="000000"/>
          <w:sz w:val="31"/>
          <w:szCs w:val="31"/>
          <w:lang w:val="it-IT"/>
        </w:rPr>
        <w:t>LICENŢĂ</w:t>
      </w:r>
    </w:p>
    <w:p w14:paraId="7261CA22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7"/>
          <w:szCs w:val="27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7"/>
          <w:szCs w:val="27"/>
          <w:lang w:val="it-IT"/>
        </w:rPr>
        <w:t>Sesiunea: Iulie/Septembrie 20</w:t>
      </w:r>
      <w:r w:rsidR="003C2059" w:rsidRPr="00B6289C">
        <w:rPr>
          <w:rFonts w:ascii="LiberationSerif-Bold" w:hAnsi="LiberationSerif-Bold" w:cs="LiberationSerif-Bold"/>
          <w:b/>
          <w:bCs/>
          <w:color w:val="000000"/>
          <w:sz w:val="27"/>
          <w:szCs w:val="27"/>
          <w:lang w:val="it-IT"/>
        </w:rPr>
        <w:t>2</w:t>
      </w:r>
      <w:r w:rsidR="00843850" w:rsidRPr="00B6289C">
        <w:rPr>
          <w:rFonts w:ascii="LiberationSerif-Bold" w:hAnsi="LiberationSerif-Bold" w:cs="LiberationSerif-Bold"/>
          <w:b/>
          <w:bCs/>
          <w:color w:val="000000"/>
          <w:sz w:val="27"/>
          <w:szCs w:val="27"/>
          <w:lang w:val="it-IT"/>
        </w:rPr>
        <w:t>5</w:t>
      </w:r>
    </w:p>
    <w:p w14:paraId="2C947E01" w14:textId="77777777" w:rsidR="00F869CE" w:rsidRPr="00B6289C" w:rsidRDefault="00F869CE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</w:p>
    <w:p w14:paraId="57B2A562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Proba: Evaluarea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cunoştinţelor</w:t>
      </w:r>
      <w:r w:rsidR="00B53DA7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fundamentale</w:t>
      </w:r>
      <w:r w:rsidR="00B53DA7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şi de specialitate</w:t>
      </w:r>
    </w:p>
    <w:p w14:paraId="7B7F8334" w14:textId="77777777" w:rsidR="008D198C" w:rsidRPr="00B6289C" w:rsidRDefault="008D198C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</w:p>
    <w:p w14:paraId="65D96397" w14:textId="77777777" w:rsidR="008D198C" w:rsidRPr="00B6289C" w:rsidRDefault="008D198C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</w:p>
    <w:p w14:paraId="5FCE81E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1. Disciplina: Finanţe</w:t>
      </w:r>
      <w:r w:rsidR="00B53DA7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publice (DF)</w:t>
      </w:r>
    </w:p>
    <w:p w14:paraId="10596F68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 Structura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finanţelor. Criterii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formele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aferente</w:t>
      </w:r>
    </w:p>
    <w:p w14:paraId="52139404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 Sistemul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elementele sale</w:t>
      </w:r>
    </w:p>
    <w:p w14:paraId="54222FE0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Mecanismul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ipolitica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financiară</w:t>
      </w:r>
    </w:p>
    <w:p w14:paraId="3E9376B9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Bugetul public, conţinut economic 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principiile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bugetare</w:t>
      </w:r>
    </w:p>
    <w:p w14:paraId="3A3E6296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5. Procesul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bugetar. Planificarea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bugetului</w:t>
      </w:r>
    </w:p>
    <w:p w14:paraId="0658E3F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Execuţia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cheltuielilor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</w:t>
      </w:r>
    </w:p>
    <w:p w14:paraId="1B2F5666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7. Execuţia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veniturilor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 (tehnicafiscală);</w:t>
      </w:r>
    </w:p>
    <w:p w14:paraId="021259B4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8. Dubla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impunere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fiscală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internaţională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formele de eludare a fiscului</w:t>
      </w:r>
    </w:p>
    <w:p w14:paraId="15080F48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9. Impozitul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persoanelor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fizice, impunerea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venitului din salarii</w:t>
      </w:r>
    </w:p>
    <w:p w14:paraId="713EFC2C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10. Impozitul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persoanelor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fizice, impunerea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venitului din activităţi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independente</w:t>
      </w:r>
    </w:p>
    <w:p w14:paraId="185D0B9D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11. Impozitul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profitul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societăţilor. Baza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impozabilă</w:t>
      </w:r>
    </w:p>
    <w:p w14:paraId="4493419A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12. TVA. Operaţiuni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impozabile</w:t>
      </w:r>
    </w:p>
    <w:p w14:paraId="60489A4B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13. TVA. Plătitori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scutirile la plată;</w:t>
      </w:r>
    </w:p>
    <w:p w14:paraId="5C5417EB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14. Taxele de consumaţie. Grupele de mărfuri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supuse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accizării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regimul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antrepozitelor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fiscale</w:t>
      </w:r>
    </w:p>
    <w:p w14:paraId="2126890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15. Imprumuturile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publice. Conţinut economic 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formele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împrumuturilor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</w:t>
      </w:r>
    </w:p>
    <w:p w14:paraId="5E64D37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  <w:t>Bibliografie:</w:t>
      </w:r>
    </w:p>
    <w:p w14:paraId="5D12A12D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Morar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Ioan Dan, Finanţe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publice, Ed.Universităţii Oradea, 2007</w:t>
      </w:r>
    </w:p>
    <w:p w14:paraId="2EBE26B9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Tulai Constantin, Finanţe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le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si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fiscalitate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, Ed. Casa Cărţii de Ştiinţe, ClujNapoca 2007</w:t>
      </w:r>
    </w:p>
    <w:p w14:paraId="4FE045D9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Văcărel Iulian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si colectivul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, Finanţe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publice, D.P. Bucureşti, 2005</w:t>
      </w:r>
    </w:p>
    <w:p w14:paraId="69E469F9" w14:textId="77777777" w:rsidR="00B53DA7" w:rsidRPr="00B6289C" w:rsidRDefault="00B53DA7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</w:p>
    <w:p w14:paraId="7AC274FB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2. Disciplina: Buget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şi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trezorerie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publică (DS)</w:t>
      </w:r>
    </w:p>
    <w:p w14:paraId="110EC73C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 Creditele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bugetare. Rolul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importanţa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creditelor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aprobate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deschise</w:t>
      </w:r>
    </w:p>
    <w:p w14:paraId="7EFDFA9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Contul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execuţie</w:t>
      </w:r>
      <w:proofErr w:type="spellEnd"/>
      <w:r w:rsidR="00D53CC6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bugetară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Structura</w:t>
      </w:r>
      <w:proofErr w:type="spellEnd"/>
      <w:r w:rsidR="00D53CC6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contului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execuţie</w:t>
      </w:r>
      <w:proofErr w:type="spellEnd"/>
      <w:r w:rsidR="00D53CC6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bugetară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Regulile de evidenţiere a</w:t>
      </w:r>
    </w:p>
    <w:p w14:paraId="70849DF2" w14:textId="77777777" w:rsidR="00B15BD5" w:rsidRPr="00B6289C" w:rsidRDefault="00D53CC6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heltuielilor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</w:t>
      </w:r>
    </w:p>
    <w:p w14:paraId="2AAC343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Indicatorii din clasificaţi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e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bugetară.Clasificaţia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funcţională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economică a cheltuielilor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p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ublice</w:t>
      </w:r>
    </w:p>
    <w:p w14:paraId="2B5CF495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Angajarea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cheltuielilor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publice. Metoda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punctajelor</w:t>
      </w:r>
    </w:p>
    <w:p w14:paraId="281FCB9A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5. Metode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moderne de dimensionare a veniturilor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publice</w:t>
      </w:r>
    </w:p>
    <w:p w14:paraId="66D293C2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Regulile de corelaţie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dintre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bugetul de venituri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cheltuieli; contul de execuţie</w:t>
      </w:r>
      <w:r w:rsidR="00D53CC6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bugetară</w:t>
      </w:r>
    </w:p>
    <w:p w14:paraId="377B57E3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7. Impozitele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partajate. Cotele defalcate din impozitul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venit</w:t>
      </w:r>
    </w:p>
    <w:p w14:paraId="11E77436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8. Echilibrarea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bugetară. Echilibrarea inter 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intra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judeţeană</w:t>
      </w:r>
    </w:p>
    <w:p w14:paraId="7761FFCD" w14:textId="77777777" w:rsidR="00B15BD5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Bibliografie</w:t>
      </w:r>
      <w:proofErr w:type="spell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:</w:t>
      </w:r>
    </w:p>
    <w:p w14:paraId="059F408E" w14:textId="77777777" w:rsidR="00B15BD5" w:rsidRPr="00A31F5E" w:rsidRDefault="00B15BD5" w:rsidP="00A31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Ghidul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studentului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examen de licenţă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domeniul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finanţe, Ed. </w:t>
      </w:r>
      <w:proofErr w:type="spellStart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Universităţii</w:t>
      </w:r>
      <w:proofErr w:type="spellEnd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Oradea 2012, cap </w:t>
      </w:r>
      <w:proofErr w:type="gramStart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II,pag</w:t>
      </w:r>
      <w:proofErr w:type="gramEnd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.69-115.</w:t>
      </w:r>
    </w:p>
    <w:p w14:paraId="497C3C69" w14:textId="77777777" w:rsidR="00B15BD5" w:rsidRPr="00A31F5E" w:rsidRDefault="00B15BD5" w:rsidP="00A31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Moşteanu Tatiana, Buget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trezorerie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publică, Ed. </w:t>
      </w:r>
      <w:proofErr w:type="spellStart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UniversitarăBucureşti</w:t>
      </w:r>
      <w:proofErr w:type="spellEnd"/>
      <w:r w:rsidRP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, 2003, 2005</w:t>
      </w:r>
    </w:p>
    <w:p w14:paraId="3E266428" w14:textId="77777777" w:rsidR="00B15BD5" w:rsidRPr="00B6289C" w:rsidRDefault="00B15BD5" w:rsidP="00B15B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Şoşdean A, Boloş M, Trifan V, Bugetul local-abordare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teoretică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metodologică, Ed.MirtonTimişoara</w:t>
      </w:r>
      <w:r w:rsidR="00A31F5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,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2002</w:t>
      </w:r>
    </w:p>
    <w:p w14:paraId="61DD2E77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3. Disciplina: Gestiune</w:t>
      </w:r>
      <w:r w:rsidR="000F628E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a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financiară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a</w:t>
      </w:r>
      <w:r w:rsidR="00D53CC6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intreprinderii (DS)</w:t>
      </w:r>
    </w:p>
    <w:p w14:paraId="7D4C868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 Capitalul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intreprinderii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structurat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funcţie de gradul de lichiditate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activuluişi de gradul</w:t>
      </w:r>
    </w:p>
    <w:p w14:paraId="7BD31B66" w14:textId="77777777" w:rsidR="00B15BD5" w:rsidRPr="00B6289C" w:rsidRDefault="000F628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exigibilitate a pasivului</w:t>
      </w:r>
    </w:p>
    <w:p w14:paraId="6CCF1735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 Analiza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echilibrului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financiar: modalitate de calcul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interpretare a situaţiei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nete, a</w:t>
      </w:r>
    </w:p>
    <w:p w14:paraId="5FBA2F88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fondului de rulment, a nevoii de fond de rulment, a trezoreriei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nete, a cash- flow –ului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baza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datelor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din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bilanţulcontabil - studiu de caz.</w:t>
      </w:r>
    </w:p>
    <w:p w14:paraId="04BE682D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Analiza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rezultatelor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intreprinderii (soldurile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intermediare de gestine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capacitatea de</w:t>
      </w:r>
    </w:p>
    <w:p w14:paraId="17AF2BD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autofinanţare) – studiu de caz</w:t>
      </w:r>
    </w:p>
    <w:p w14:paraId="36309D82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Diagnosticul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 al rentabilităţii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lichidităţii - studiu de caz</w:t>
      </w:r>
    </w:p>
    <w:p w14:paraId="021760F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5. Politici de gestiune a ciclului de exploatare</w:t>
      </w:r>
    </w:p>
    <w:p w14:paraId="55F09EC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Finanţarea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activităţii de exploatare</w:t>
      </w:r>
    </w:p>
    <w:p w14:paraId="0B0916F7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7. Fundamentarea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finanţarea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investiţiilor</w:t>
      </w:r>
    </w:p>
    <w:p w14:paraId="76C2A8D7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  <w:t>Bibliografie:</w:t>
      </w:r>
    </w:p>
    <w:p w14:paraId="24D43944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Ghidul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studentului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examen de licenţă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domeniul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finanţe, Ed. Universităţii Oradea 2012, cap III,pag.117-148</w:t>
      </w:r>
    </w:p>
    <w:p w14:paraId="7CA5B499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Vintilă G, Gestiunea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financiară a întreprinderii, Ed. Didactică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iPedagogică, R.A Bucureşti, 1997</w:t>
      </w:r>
    </w:p>
    <w:p w14:paraId="7C0E5C0C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Chirilă Emil, Finanţele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întreprinderilor, Ed. Universităţii din Oradea, 2001</w:t>
      </w:r>
    </w:p>
    <w:p w14:paraId="4DEE2BF9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Stanciu Ion, Finanţe, -Teoria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pieţelor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financiare, Finanţele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întreprinderilor, Analiza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gestiunea</w:t>
      </w:r>
    </w:p>
    <w:p w14:paraId="4519D3C9" w14:textId="77777777" w:rsidR="00B15BD5" w:rsidRDefault="00B15BD5" w:rsidP="00B15BD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lang w:val="en-US"/>
        </w:rPr>
      </w:pP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financiară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Ed.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Economică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, 1997</w:t>
      </w:r>
      <w:r w:rsid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.</w:t>
      </w:r>
    </w:p>
    <w:p w14:paraId="0ADEA82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4. Disciplina: Control</w:t>
      </w:r>
      <w:r w:rsidR="000F628E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financiar (DS)</w:t>
      </w:r>
    </w:p>
    <w:p w14:paraId="1AE69E3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 Descrieţi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conceptul de control financiar. Diferenţa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faţă de controlul fiscal</w:t>
      </w:r>
    </w:p>
    <w:p w14:paraId="1C516679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 Componentele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sistemului de control financiar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privit din punct de vedere structural</w:t>
      </w:r>
    </w:p>
    <w:p w14:paraId="79D50167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Elementele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componente ale sistemului de control financiar. Descrieţi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controlul total 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prin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sondaj</w:t>
      </w:r>
    </w:p>
    <w:p w14:paraId="7BA3B743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Descrieţi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procedeul de control documentar - contabil</w:t>
      </w:r>
    </w:p>
    <w:p w14:paraId="52BA867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5. Procesul verbal de control (elemente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obligatorii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situaţii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 care se întocmeşte)</w:t>
      </w:r>
    </w:p>
    <w:p w14:paraId="58C475B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Descrieţi</w:t>
      </w:r>
      <w:r w:rsidR="00F869C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procedura de acordare a vizei de control financiar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preventiv</w:t>
      </w:r>
    </w:p>
    <w:p w14:paraId="03E3DC93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lastRenderedPageBreak/>
        <w:t>7. Documentele care se întocmesc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urma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unei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acţiuni de control financiar (enumerare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descriere</w:t>
      </w:r>
      <w:r w:rsidR="000F628E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succintă)</w:t>
      </w:r>
    </w:p>
    <w:p w14:paraId="57919BA3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  <w:t>Bibliografie:</w:t>
      </w:r>
    </w:p>
    <w:p w14:paraId="080CAAD0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Ghidul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studentului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examen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ul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de licenţăd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omeniul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finanţe, Ed. Universităţii Oradea 2012, cap IV,pag.149-169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;</w:t>
      </w:r>
    </w:p>
    <w:p w14:paraId="6901A4EF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Ţară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Ioan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, Controlul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expertiză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contabilă, Ed. Universităţii din Oradea, 2003</w:t>
      </w:r>
    </w:p>
    <w:p w14:paraId="7F214794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Popenga P, Popenga G., Control financiarşi fiscal, Ed.CECCAR, Bucureşti, 2004</w:t>
      </w:r>
    </w:p>
    <w:p w14:paraId="3AC3E20A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Boulescu M, Ghiţă M, Control financiar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expertiză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contabilă, Ed. Eficient, 1996</w:t>
      </w:r>
    </w:p>
    <w:p w14:paraId="07C37B6B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5. Disciplina: Monedăşi credit (DS)</w:t>
      </w:r>
    </w:p>
    <w:p w14:paraId="71626CEB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 Trăsăturile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formele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creditului</w:t>
      </w:r>
    </w:p>
    <w:p w14:paraId="67F96449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 Instrumente de credit-prezentare, clasificare</w:t>
      </w:r>
    </w:p>
    <w:p w14:paraId="65893A88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Structura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unui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sistembancar modern</w:t>
      </w:r>
    </w:p>
    <w:p w14:paraId="5C975077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Funcţiile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băncii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centrale</w:t>
      </w:r>
    </w:p>
    <w:p w14:paraId="33F6D600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DejaVuSans" w:hAnsi="DejaVuSans" w:cs="DejaVuSans"/>
          <w:color w:val="000000"/>
          <w:lang w:val="it-IT"/>
        </w:rPr>
        <w:t xml:space="preserve">5.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Independenţa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băncii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centrale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faţă de puterea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executivă</w:t>
      </w:r>
    </w:p>
    <w:p w14:paraId="1F7C7FA4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Operaţiuni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 (pasive, active, de comision, extrabilanţiere)</w:t>
      </w:r>
    </w:p>
    <w:p w14:paraId="06396E8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7. Tipuri de credit bancar. Mecanismul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creditării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</w:t>
      </w:r>
    </w:p>
    <w:p w14:paraId="6452E4F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  <w:t>Bibliografie:</w:t>
      </w:r>
    </w:p>
    <w:p w14:paraId="5B27F94E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Ghidul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studentului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examen de licenţă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domeniul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finanţe, Ed. Universităţii Oradea 2012, cap V,pag.171-219</w:t>
      </w:r>
    </w:p>
    <w:p w14:paraId="27940A0B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Zăpodeanu D, Politicimonetare, Ed.Dacia, ClujNapoca , 2002</w:t>
      </w:r>
    </w:p>
    <w:p w14:paraId="75520044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Trenca I, Metode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tehnici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bancare, Casa Cărţii de Ştiinţă, ClujNapoca, 2002</w:t>
      </w:r>
    </w:p>
    <w:p w14:paraId="65E11A5A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DardacNicolae, Barbu T., Monedă, bănci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politici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monetare, Ed. Didactică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pedagogică, Bucureşti,2005</w:t>
      </w:r>
    </w:p>
    <w:p w14:paraId="07BCCD09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6. Disciplina: Gestiune</w:t>
      </w:r>
      <w:r w:rsidR="00E149B4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a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şi</w:t>
      </w:r>
      <w:r w:rsidR="00E149B4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contabilitatea</w:t>
      </w:r>
      <w:r w:rsidR="00E149B4"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 xml:space="preserve"> </w:t>
      </w:r>
      <w:r w:rsidRPr="00B6289C">
        <w:rPr>
          <w:rFonts w:ascii="LiberationSerif-Bold" w:hAnsi="LiberationSerif-Bold" w:cs="LiberationSerif-Bold"/>
          <w:b/>
          <w:bCs/>
          <w:color w:val="000000"/>
          <w:sz w:val="28"/>
          <w:szCs w:val="28"/>
          <w:lang w:val="it-IT"/>
        </w:rPr>
        <w:t>instituţiilor de credit (DS)</w:t>
      </w:r>
    </w:p>
    <w:p w14:paraId="711279AE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1.Caracteristici ale sistemelor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implicaţii ale crizelor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financiare</w:t>
      </w:r>
    </w:p>
    <w:p w14:paraId="6CD2F6E1" w14:textId="77777777" w:rsidR="00B15BD5" w:rsidRPr="00B6289C" w:rsidRDefault="00E149B4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A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suprafuncţionalităţii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acestora</w:t>
      </w:r>
    </w:p>
    <w:p w14:paraId="7455FA84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 .Modele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strategii de gestiune a riscurilor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</w:t>
      </w:r>
    </w:p>
    <w:p w14:paraId="21787FA2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 Cadrul actual al gestiunii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riscul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ui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de credit</w:t>
      </w:r>
    </w:p>
    <w:p w14:paraId="26C53010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 Gestiunea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riscului de lichiditate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efectele sale</w:t>
      </w:r>
    </w:p>
    <w:p w14:paraId="75D190DA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5. Metode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tehnici de gestiune a riscului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ratei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dobânzii</w:t>
      </w:r>
    </w:p>
    <w:p w14:paraId="03AF007F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6. Gestiunea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decontărilor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</w:t>
      </w:r>
    </w:p>
    <w:p w14:paraId="6BB2C101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7. Supravegherea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instituţiilor de credit</w:t>
      </w:r>
    </w:p>
    <w:p w14:paraId="43A33E65" w14:textId="77777777" w:rsidR="00B15BD5" w:rsidRPr="00B6289C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</w:pPr>
      <w:r w:rsidRPr="00B6289C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it-IT"/>
        </w:rPr>
        <w:t>Bibliografie:</w:t>
      </w:r>
    </w:p>
    <w:p w14:paraId="689D8C6B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1.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Ghidul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studentului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examen de licenţă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domeniul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finanţe, Ed. Universităţii Oradea 2012, cap VI,pag.221-271</w:t>
      </w:r>
    </w:p>
    <w:p w14:paraId="7F20DC01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2.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Benţe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Corneliu, Gestiunea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modernă a riscurilor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bancare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în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contextul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dezvoltării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e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ţei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asigurării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creditului,Ed. Universitaţii Oradea, 2011</w:t>
      </w:r>
    </w:p>
    <w:p w14:paraId="2AA50B39" w14:textId="77777777" w:rsidR="00B15BD5" w:rsidRPr="00B6289C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it-IT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3.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Dedu V, Gestiune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şi audit bancar, Ediţia a treia, Editura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pentru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Ştiiţe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Naţionale, Bucureşti, 2001</w:t>
      </w:r>
    </w:p>
    <w:p w14:paraId="18AC6319" w14:textId="77777777" w:rsidR="00B15BD5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4.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Niţu I, Managementul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>riscului</w:t>
      </w:r>
      <w:r w:rsidR="00E149B4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 </w:t>
      </w:r>
      <w:r w:rsidR="00B15BD5" w:rsidRPr="00B6289C">
        <w:rPr>
          <w:rFonts w:ascii="LiberationSerif" w:hAnsi="LiberationSerif" w:cs="LiberationSerif"/>
          <w:color w:val="000000"/>
          <w:sz w:val="24"/>
          <w:szCs w:val="24"/>
          <w:lang w:val="it-IT"/>
        </w:rPr>
        <w:t xml:space="preserve">bancar, Ed. </w:t>
      </w:r>
      <w:r w:rsidR="00B15BD5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Expert, </w:t>
      </w:r>
      <w:proofErr w:type="spellStart"/>
      <w:r w:rsidR="00B15BD5">
        <w:rPr>
          <w:rFonts w:ascii="LiberationSerif" w:hAnsi="LiberationSerif" w:cs="LiberationSerif"/>
          <w:color w:val="000000"/>
          <w:sz w:val="24"/>
          <w:szCs w:val="24"/>
          <w:lang w:val="en-US"/>
        </w:rPr>
        <w:t>Bucureşti</w:t>
      </w:r>
      <w:proofErr w:type="spellEnd"/>
      <w:r w:rsidR="00B15BD5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2000</w:t>
      </w:r>
    </w:p>
    <w:p w14:paraId="2862844F" w14:textId="77777777" w:rsidR="00A31F5E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</w:p>
    <w:p w14:paraId="667A9673" w14:textId="77777777" w:rsidR="00A31F5E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</w:p>
    <w:p w14:paraId="07EAAC1F" w14:textId="77777777" w:rsidR="00A31F5E" w:rsidRDefault="00A31F5E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</w:p>
    <w:p w14:paraId="50D9DBC8" w14:textId="77777777" w:rsidR="00B15BD5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DIRECTOR DEPARTAMENT</w:t>
      </w:r>
      <w:r w:rsidR="00A31F5E">
        <w:rPr>
          <w:rFonts w:ascii="LiberationSerif" w:hAnsi="LiberationSerif" w:cs="LiberationSerif"/>
          <w:color w:val="000000"/>
          <w:sz w:val="24"/>
          <w:szCs w:val="24"/>
          <w:lang w:val="en-US"/>
        </w:rPr>
        <w:t>,</w:t>
      </w:r>
    </w:p>
    <w:p w14:paraId="50D15C2D" w14:textId="77777777" w:rsidR="00B15BD5" w:rsidRDefault="00B15BD5" w:rsidP="00B15BD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spellStart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Prof.univ.dr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  <w:lang w:val="en-US"/>
        </w:rPr>
        <w:t>. IOAN DAN MORAR</w:t>
      </w:r>
    </w:p>
    <w:sectPr w:rsidR="00B15BD5" w:rsidSect="000B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67592"/>
    <w:multiLevelType w:val="hybridMultilevel"/>
    <w:tmpl w:val="5AB6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D5"/>
    <w:rsid w:val="00044843"/>
    <w:rsid w:val="00085EDD"/>
    <w:rsid w:val="000B1A39"/>
    <w:rsid w:val="000F395E"/>
    <w:rsid w:val="000F628E"/>
    <w:rsid w:val="00281F44"/>
    <w:rsid w:val="002C392C"/>
    <w:rsid w:val="00301B08"/>
    <w:rsid w:val="00383596"/>
    <w:rsid w:val="0039720F"/>
    <w:rsid w:val="003C2059"/>
    <w:rsid w:val="003F62D7"/>
    <w:rsid w:val="00432776"/>
    <w:rsid w:val="00444103"/>
    <w:rsid w:val="00476402"/>
    <w:rsid w:val="00483D46"/>
    <w:rsid w:val="007054E9"/>
    <w:rsid w:val="00814EC4"/>
    <w:rsid w:val="00843850"/>
    <w:rsid w:val="008D198C"/>
    <w:rsid w:val="00932E2D"/>
    <w:rsid w:val="009700E5"/>
    <w:rsid w:val="009851B3"/>
    <w:rsid w:val="00A31F5E"/>
    <w:rsid w:val="00A5045E"/>
    <w:rsid w:val="00AB20B9"/>
    <w:rsid w:val="00B15BD5"/>
    <w:rsid w:val="00B53DA7"/>
    <w:rsid w:val="00B6289C"/>
    <w:rsid w:val="00C86646"/>
    <w:rsid w:val="00C9252B"/>
    <w:rsid w:val="00CF1384"/>
    <w:rsid w:val="00D514AD"/>
    <w:rsid w:val="00D53CC6"/>
    <w:rsid w:val="00D708E3"/>
    <w:rsid w:val="00D75BE7"/>
    <w:rsid w:val="00E149B4"/>
    <w:rsid w:val="00E54E6B"/>
    <w:rsid w:val="00EF7BD5"/>
    <w:rsid w:val="00F869CE"/>
    <w:rsid w:val="00FD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EAFA"/>
  <w15:docId w15:val="{4BBD2B38-FFDE-413C-82F4-BA185C2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3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5E"/>
    <w:rPr>
      <w:rFonts w:ascii="Tahoma" w:hAnsi="Tahoma" w:cs="Tahoma"/>
      <w:sz w:val="16"/>
      <w:szCs w:val="16"/>
      <w:lang w:val="ro-RO"/>
    </w:rPr>
  </w:style>
  <w:style w:type="paragraph" w:customStyle="1" w:styleId="AntetUO">
    <w:name w:val="AntetUO"/>
    <w:rsid w:val="00A31F5E"/>
    <w:pPr>
      <w:spacing w:after="0" w:line="240" w:lineRule="auto"/>
      <w:jc w:val="center"/>
    </w:pPr>
    <w:rPr>
      <w:rFonts w:ascii="Arial" w:eastAsia="Times New Roman" w:hAnsi="Arial" w:cs="Times New Roman"/>
      <w:szCs w:val="24"/>
      <w:lang w:val="ro-RO" w:eastAsia="ro-RO"/>
    </w:rPr>
  </w:style>
  <w:style w:type="character" w:styleId="Hyperlink">
    <w:name w:val="Hyperlink"/>
    <w:rsid w:val="00A31F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1F5E"/>
    <w:pPr>
      <w:ind w:left="720"/>
      <w:contextualSpacing/>
    </w:pPr>
  </w:style>
  <w:style w:type="paragraph" w:customStyle="1" w:styleId="StilAntetUOAldin">
    <w:name w:val="Stil AntetUO + Aldin"/>
    <w:basedOn w:val="AntetUO"/>
    <w:rsid w:val="00CF1384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conomice.uorade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</dc:creator>
  <cp:keywords/>
  <dc:description/>
  <cp:lastModifiedBy>CargoTrack Office</cp:lastModifiedBy>
  <cp:revision>2</cp:revision>
  <dcterms:created xsi:type="dcterms:W3CDTF">2025-02-26T07:02:00Z</dcterms:created>
  <dcterms:modified xsi:type="dcterms:W3CDTF">2025-02-26T07:02:00Z</dcterms:modified>
</cp:coreProperties>
</file>