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A822" w14:textId="77777777" w:rsidR="00B23A7B" w:rsidRPr="00126F1B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  <w:r w:rsidRPr="00126F1B">
        <w:rPr>
          <w:rFonts w:ascii="Book Antiqua" w:hAnsi="Book Antiqua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64771A" wp14:editId="073A290B">
                <wp:simplePos x="0" y="0"/>
                <wp:positionH relativeFrom="column">
                  <wp:posOffset>128905</wp:posOffset>
                </wp:positionH>
                <wp:positionV relativeFrom="paragraph">
                  <wp:posOffset>22226</wp:posOffset>
                </wp:positionV>
                <wp:extent cx="5343525" cy="1455420"/>
                <wp:effectExtent l="0" t="0" r="28575" b="11430"/>
                <wp:wrapNone/>
                <wp:docPr id="8" name="Dreptunghi cu colţuri rotunjite pe diagonal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45542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A8410" w14:textId="77777777" w:rsidR="00B23A7B" w:rsidRPr="001657B3" w:rsidRDefault="00B23A7B" w:rsidP="00B23A7B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Programul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FINAN</w:t>
                            </w:r>
                            <w:r>
                              <w:rPr>
                                <w:rFonts w:ascii="Cambria" w:hAnsi="Cambria"/>
                              </w:rPr>
                              <w:t>ȚE ȘI BĂNCI</w:t>
                            </w:r>
                          </w:p>
                          <w:p w14:paraId="2F794051" w14:textId="77777777" w:rsidR="00B23A7B" w:rsidRPr="001657B3" w:rsidRDefault="00B23A7B" w:rsidP="00B23A7B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Domeniul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de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licenţă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FINAN</w:t>
                            </w:r>
                            <w:r>
                              <w:rPr>
                                <w:rFonts w:ascii="Cambria" w:hAnsi="Cambria"/>
                              </w:rPr>
                              <w:t>ȚE</w:t>
                            </w:r>
                          </w:p>
                          <w:p w14:paraId="59A5297C" w14:textId="77777777" w:rsidR="00B23A7B" w:rsidRPr="00366C6E" w:rsidRDefault="00B23A7B" w:rsidP="00B23A7B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Licenţiat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în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Ştiinţe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Economice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4771A" id="Dreptunghi cu colţuri rotunjite pe diagonală 1" o:spid="_x0000_s1026" style="position:absolute;left:0;text-align:left;margin-left:10.15pt;margin-top:1.75pt;width:420.75pt;height:114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343525,1455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W2bgIAACkFAAAOAAAAZHJzL2Uyb0RvYy54bWysVE1v2zAMvQ/YfxB0X52k8T6COkXQosOA&#10;og3aDj0rshQbkEWNUmJnv36U7DhFW+wwLAeFMslH6ulRF5ddY9heoa/BFnx6NuFMWQllbbcF//l0&#10;8+krZz4IWwoDVhX8oDy/XH78cNG6hZpBBaZUyAjE+kXrCl6F4BZZ5mWlGuHPwClLTg3YiEBb3GYl&#10;ipbQG5PNJpPPWQtYOgSpvKev172TLxO+1kqGe629CswUnHoLacW0buKaLS/EYovCVbUc2hD/0EUj&#10;aktFR6hrEQTbYf0GqqklggcdziQ0GWhdS5XOQKeZTl6d5rESTqWzEDnejTT5/wcr7/aPbo1EQ+v8&#10;wpMZT9FpbOI/9ce6RNZhJEt1gUn6mJ/Pz/NZzpkk33Se5/NZojM7pTv04buChkWj4Ag7W86ua7F9&#10;oHtJdIn9rQ9UnJKOwbQ5tZKscDAqdmPsg9KsLqn4LGUnlagrg2wv6H6FlMqGae+qRKn6z/mEfvGi&#10;qciYkXYJMCLr2pgRewCICnyL3cMM8TFVJZGNyZO/NdYnjxmpMtgwJje1BXwPwNCphsp9/JGknprI&#10;Uug2HYVEcwPlYY0MoVe7d/Kmpgu4FT6sBZK8aRBoZMM9LdpAW3AYLM4qwN/vfY/xpDryctbSuBTc&#10;/9oJVJyZH5b0+G06n8f5Spt5/oW0wPClZ/PSY3fNFdCNTelxcDKZMT6Yo6kRmmea7FWsSi5hJdUu&#10;uAx43FyFfozpbZBqtUphNFNOhFv76GQEjwRHWT11zwLdoMJAAr6D42iJxSsJ9rEx08JqF0DXSZ8n&#10;XgfqaR6Thoa3Iw78y32KOr1wyz8AAAD//wMAUEsDBBQABgAIAAAAIQCKySOS2wAAAAgBAAAPAAAA&#10;ZHJzL2Rvd25yZXYueG1sTI/BTsMwEETvSPyDtUhcKuo0EW0U4lQoEkcOlEpct7GJI+J1ZLtJ+HuW&#10;Exx3ZvR2pj6ubhSzCXHwpGC3zUAY6rweqFdwfn95KEHEhKRx9GQUfJsIx+b2psZK+4XezHxKvWAI&#10;xQoV2JSmSsrYWeMwbv1kiL1PHxwmPkMvdcCF4W6UeZbtpcOB+IPFybTWdF+nq2PK6zTLMrQt4unQ&#10;B2s3H4veKHV/tz4/gUhmTX9h+K3P1aHhThd/JR3FqCDPCk4qKB5BsF3ud7zkwnqRH0A2tfw/oPkB&#10;AAD//wMAUEsBAi0AFAAGAAgAAAAhALaDOJL+AAAA4QEAABMAAAAAAAAAAAAAAAAAAAAAAFtDb250&#10;ZW50X1R5cGVzXS54bWxQSwECLQAUAAYACAAAACEAOP0h/9YAAACUAQAACwAAAAAAAAAAAAAAAAAv&#10;AQAAX3JlbHMvLnJlbHNQSwECLQAUAAYACAAAACEAZRkVtm4CAAApBQAADgAAAAAAAAAAAAAAAAAu&#10;AgAAZHJzL2Uyb0RvYy54bWxQSwECLQAUAAYACAAAACEAiskjktsAAAAIAQAADwAAAAAAAAAAAAAA&#10;AADIBAAAZHJzL2Rvd25yZXYueG1sUEsFBgAAAAAEAAQA8wAAANAFAAAAAA==&#10;" adj="-11796480,,5400" path="m242575,l5343525,r,l5343525,1212845v,133970,-108605,242575,-242575,242575l,1455420r,l,242575c,108605,108605,,242575,xe" fillcolor="#4472c4 [3204]" strokecolor="#1f3763 [1604]" strokeweight="1pt">
                <v:stroke joinstyle="miter"/>
                <v:formulas/>
                <v:path arrowok="t" o:connecttype="custom" o:connectlocs="242575,0;5343525,0;5343525,0;5343525,1212845;5100950,1455420;0,1455420;0,1455420;0,242575;242575,0" o:connectangles="0,0,0,0,0,0,0,0,0" textboxrect="0,0,5343525,1455420"/>
                <v:textbox>
                  <w:txbxContent>
                    <w:p w14:paraId="750A8410" w14:textId="77777777" w:rsidR="00B23A7B" w:rsidRPr="001657B3" w:rsidRDefault="00B23A7B" w:rsidP="00B23A7B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Cambria" w:hAnsi="Cambria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Programul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: </w:t>
                      </w:r>
                      <w:r>
                        <w:rPr>
                          <w:rFonts w:ascii="Bookman Old Style" w:hAnsi="Bookman Old Style"/>
                        </w:rPr>
                        <w:t>FINAN</w:t>
                      </w:r>
                      <w:r>
                        <w:rPr>
                          <w:rFonts w:ascii="Cambria" w:hAnsi="Cambria"/>
                        </w:rPr>
                        <w:t>ȚE ȘI BĂNCI</w:t>
                      </w:r>
                    </w:p>
                    <w:p w14:paraId="2F794051" w14:textId="77777777" w:rsidR="00B23A7B" w:rsidRPr="001657B3" w:rsidRDefault="00B23A7B" w:rsidP="00B23A7B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Cambria" w:hAnsi="Cambria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Domeniul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de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licenţă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: </w:t>
                      </w:r>
                      <w:r>
                        <w:rPr>
                          <w:rFonts w:ascii="Bookman Old Style" w:hAnsi="Bookman Old Style"/>
                        </w:rPr>
                        <w:t>FINAN</w:t>
                      </w:r>
                      <w:r>
                        <w:rPr>
                          <w:rFonts w:ascii="Cambria" w:hAnsi="Cambria"/>
                        </w:rPr>
                        <w:t>ȚE</w:t>
                      </w:r>
                    </w:p>
                    <w:p w14:paraId="59A5297C" w14:textId="77777777" w:rsidR="00B23A7B" w:rsidRPr="00366C6E" w:rsidRDefault="00B23A7B" w:rsidP="00B23A7B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Licenţiat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în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Ştiinţe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Economice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69DD865" w14:textId="77777777" w:rsidR="00B23A7B" w:rsidRPr="00126F1B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208395CD" w14:textId="77777777" w:rsidR="00B23A7B" w:rsidRPr="00126F1B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73169DBB" w14:textId="77777777" w:rsidR="00B23A7B" w:rsidRPr="00126F1B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45ADFAFB" w14:textId="77777777" w:rsidR="00B23A7B" w:rsidRPr="00126F1B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3E824653" w14:textId="77777777" w:rsidR="00B23A7B" w:rsidRPr="00126F1B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26D0C182" w14:textId="77777777" w:rsidR="00B23A7B" w:rsidRPr="00126F1B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319C6C86" w14:textId="77777777" w:rsidR="00B23A7B" w:rsidRPr="00126F1B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58FC116B" w14:textId="77777777" w:rsidR="00B23A7B" w:rsidRPr="00B52D60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bCs/>
          <w:sz w:val="24"/>
          <w:szCs w:val="24"/>
          <w:lang w:val="ro-RO"/>
        </w:rPr>
      </w:pPr>
    </w:p>
    <w:p w14:paraId="59350D50" w14:textId="77777777" w:rsidR="00B23A7B" w:rsidRPr="00B52D60" w:rsidRDefault="00B23A7B" w:rsidP="00B23A7B">
      <w:pPr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 xml:space="preserve">Misiunea programului de studiu </w:t>
      </w:r>
      <w:proofErr w:type="spellStart"/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>Finanţe</w:t>
      </w:r>
      <w:proofErr w:type="spellEnd"/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 xml:space="preserve"> bănci 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este de a forma prin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activităţi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învăţământ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cercetare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ştiinţifică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, adecvate specificului actual al mediului de</w:t>
      </w:r>
      <w:r w:rsidRPr="00B52D60">
        <w:rPr>
          <w:rFonts w:ascii="Book Antiqua" w:hAnsi="Book Antiqua" w:cs="Times New Roman"/>
          <w:b/>
          <w:i/>
          <w:iCs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afaceri, a unei categorii de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specialişti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în domeniul Financiar. </w:t>
      </w:r>
      <w:r w:rsidRPr="00B52D60">
        <w:rPr>
          <w:rFonts w:ascii="Book Antiqua" w:hAnsi="Book Antiqua" w:cs="Times New Roman"/>
          <w:bCs/>
          <w:i/>
          <w:iCs/>
          <w:sz w:val="24"/>
          <w:szCs w:val="24"/>
          <w:lang w:val="ro-RO"/>
        </w:rPr>
        <w:t xml:space="preserve">Scopul fundamental al acestui 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program de studiu, centrat pe student, este acela de a forma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specialişti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în domeniu. Prin metode didactice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cercetare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ştiinţifică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se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urmăreşte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aplicarea unei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curricule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academice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a unor programe analitice care permit specializarea complexă în domeniul financiar-bancar, oferind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absolvenţilor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conceptele, metodele, instrumentele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mecanismele necesare pentru realizarea în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condiţii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performanţă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a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funcţiunii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financiare a companiilor,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instituţiilor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administraţiei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fiscale,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instituţiilor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credit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societăţilor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grup.</w:t>
      </w:r>
    </w:p>
    <w:p w14:paraId="634C8EED" w14:textId="77777777" w:rsidR="00B23A7B" w:rsidRPr="00126F1B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0B140446" w14:textId="77777777" w:rsidR="00B23A7B" w:rsidRPr="00126F1B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19F4B3AB" w14:textId="77777777" w:rsidR="00B23A7B" w:rsidRPr="00B52D60" w:rsidRDefault="00B23A7B" w:rsidP="00B23A7B">
      <w:pPr>
        <w:spacing w:line="276" w:lineRule="auto"/>
        <w:ind w:left="4"/>
        <w:jc w:val="both"/>
        <w:rPr>
          <w:rFonts w:ascii="Book Antiqua" w:hAnsi="Book Antiqua" w:cs="Times New Roman"/>
          <w:bCs/>
          <w:sz w:val="24"/>
          <w:szCs w:val="24"/>
          <w:lang w:val="ro-RO"/>
        </w:rPr>
      </w:pP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Absolven</w:t>
      </w:r>
      <w:r w:rsidRPr="00B52D60">
        <w:rPr>
          <w:rFonts w:ascii="Cambria" w:eastAsia="Times New Roman" w:hAnsi="Cambria" w:cs="Cambria"/>
          <w:bCs/>
          <w:sz w:val="24"/>
          <w:szCs w:val="24"/>
          <w:lang w:val="ro-RO" w:eastAsia="ro-RO"/>
        </w:rPr>
        <w:t>ț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ii programul de licen</w:t>
      </w:r>
      <w:r w:rsidRPr="00B52D60">
        <w:rPr>
          <w:rFonts w:ascii="Cambria" w:eastAsia="Times New Roman" w:hAnsi="Cambria" w:cs="Cambria"/>
          <w:bCs/>
          <w:sz w:val="24"/>
          <w:szCs w:val="24"/>
          <w:lang w:val="ro-RO" w:eastAsia="ro-RO"/>
        </w:rPr>
        <w:t>ț</w:t>
      </w:r>
      <w:r w:rsidRPr="00B52D60">
        <w:rPr>
          <w:rFonts w:ascii="Book Antiqua" w:eastAsia="Times New Roman" w:hAnsi="Book Antiqua" w:cs="Book Antiqua"/>
          <w:bCs/>
          <w:sz w:val="24"/>
          <w:szCs w:val="24"/>
          <w:lang w:val="ro-RO" w:eastAsia="ro-RO"/>
        </w:rPr>
        <w:t>ă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 Finan</w:t>
      </w:r>
      <w:r w:rsidRPr="00B52D60">
        <w:rPr>
          <w:rFonts w:ascii="Cambria" w:eastAsia="Times New Roman" w:hAnsi="Cambria" w:cs="Cambria"/>
          <w:bCs/>
          <w:sz w:val="24"/>
          <w:szCs w:val="24"/>
          <w:lang w:val="ro-RO" w:eastAsia="ro-RO"/>
        </w:rPr>
        <w:t>ț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e </w:t>
      </w:r>
      <w:r w:rsidRPr="00B52D60">
        <w:rPr>
          <w:rFonts w:ascii="Cambria" w:eastAsia="Times New Roman" w:hAnsi="Cambria" w:cs="Cambria"/>
          <w:bCs/>
          <w:sz w:val="24"/>
          <w:szCs w:val="24"/>
          <w:lang w:val="ro-RO" w:eastAsia="ro-RO"/>
        </w:rPr>
        <w:t>ș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i b</w:t>
      </w:r>
      <w:r w:rsidRPr="00B52D60">
        <w:rPr>
          <w:rFonts w:ascii="Book Antiqua" w:eastAsia="Times New Roman" w:hAnsi="Book Antiqua" w:cs="Book Antiqua"/>
          <w:bCs/>
          <w:sz w:val="24"/>
          <w:szCs w:val="24"/>
          <w:lang w:val="ro-RO" w:eastAsia="ro-RO"/>
        </w:rPr>
        <w:t>ă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nci vor </w:t>
      </w:r>
      <w:r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deprinde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 competen</w:t>
      </w:r>
      <w:r w:rsidRPr="00B52D60">
        <w:rPr>
          <w:rFonts w:ascii="Cambria" w:eastAsia="Times New Roman" w:hAnsi="Cambria" w:cs="Cambria"/>
          <w:bCs/>
          <w:sz w:val="24"/>
          <w:szCs w:val="24"/>
          <w:lang w:val="ro-RO" w:eastAsia="ro-RO"/>
        </w:rPr>
        <w:t>ț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e valoroase, cum ar fi</w:t>
      </w:r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>:</w:t>
      </w:r>
    </w:p>
    <w:p w14:paraId="5B9D7079" w14:textId="77777777" w:rsidR="00B23A7B" w:rsidRPr="006A67A9" w:rsidRDefault="00B23A7B" w:rsidP="00B23A7B">
      <w:pPr>
        <w:pStyle w:val="ListParagraph"/>
        <w:numPr>
          <w:ilvl w:val="0"/>
          <w:numId w:val="1"/>
        </w:num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>
        <w:rPr>
          <w:rFonts w:ascii="Book Antiqua" w:hAnsi="Book Antiqua" w:cs="Times New Roman"/>
          <w:i/>
          <w:iCs/>
          <w:sz w:val="24"/>
          <w:szCs w:val="24"/>
          <w:lang w:val="ro-RO"/>
        </w:rPr>
        <w:t>Capacitatea de a u</w:t>
      </w:r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tilizare </w:t>
      </w:r>
      <w:r>
        <w:rPr>
          <w:rFonts w:ascii="Book Antiqua" w:hAnsi="Book Antiqua" w:cs="Times New Roman"/>
          <w:i/>
          <w:iCs/>
          <w:sz w:val="24"/>
          <w:szCs w:val="24"/>
          <w:lang w:val="ro-RO"/>
        </w:rPr>
        <w:t>adecvat</w:t>
      </w:r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concepte, teorii, metode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instrumente de natură financiară în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entităţile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/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organizaţii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-le private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publice;</w:t>
      </w:r>
    </w:p>
    <w:p w14:paraId="41F0CB7E" w14:textId="77777777" w:rsidR="00B23A7B" w:rsidRPr="006A67A9" w:rsidRDefault="00B23A7B" w:rsidP="00B23A7B">
      <w:pPr>
        <w:pStyle w:val="ListParagraph"/>
        <w:numPr>
          <w:ilvl w:val="0"/>
          <w:numId w:val="1"/>
        </w:num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Culegerea, analiza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interpretarea de date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informaţii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referitoare la probleme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economico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-financiare;</w:t>
      </w:r>
    </w:p>
    <w:p w14:paraId="4DBB6C13" w14:textId="77777777" w:rsidR="00B23A7B" w:rsidRPr="006A67A9" w:rsidRDefault="00B23A7B" w:rsidP="00B23A7B">
      <w:pPr>
        <w:pStyle w:val="ListParagraph"/>
        <w:numPr>
          <w:ilvl w:val="0"/>
          <w:numId w:val="1"/>
        </w:num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Execuţia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operaţiuni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tranzacţii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financiare specifice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entităţilor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/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organizaţiilor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private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publice;</w:t>
      </w:r>
    </w:p>
    <w:p w14:paraId="2A2E03CC" w14:textId="77777777" w:rsidR="00B23A7B" w:rsidRPr="006A67A9" w:rsidRDefault="00B23A7B" w:rsidP="00B23A7B">
      <w:pPr>
        <w:pStyle w:val="ListParagraph"/>
        <w:numPr>
          <w:ilvl w:val="0"/>
          <w:numId w:val="1"/>
        </w:num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Implementarea planurilor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bugetelor la nivelul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entităţilor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/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organizaţiilor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private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publice;</w:t>
      </w:r>
    </w:p>
    <w:p w14:paraId="42547C5B" w14:textId="77777777" w:rsidR="00B23A7B" w:rsidRPr="006A67A9" w:rsidRDefault="00B23A7B" w:rsidP="00B23A7B">
      <w:pPr>
        <w:pStyle w:val="ListParagraph"/>
        <w:numPr>
          <w:ilvl w:val="0"/>
          <w:numId w:val="1"/>
        </w:num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Aplicarea deciziilor financiare în cadrul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entităţilor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/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organizaţiilor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private </w:t>
      </w:r>
      <w:proofErr w:type="spellStart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6A67A9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publice.</w:t>
      </w:r>
    </w:p>
    <w:p w14:paraId="3E338155" w14:textId="77777777" w:rsidR="00B23A7B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58F55E4A" w14:textId="77777777" w:rsidR="00B23A7B" w:rsidRPr="009C2835" w:rsidRDefault="00B23A7B" w:rsidP="00B23A7B">
      <w:pPr>
        <w:spacing w:before="120" w:after="120"/>
        <w:jc w:val="both"/>
        <w:rPr>
          <w:rFonts w:ascii="Book Antiqua" w:hAnsi="Book Antiqua"/>
          <w:i/>
          <w:sz w:val="24"/>
          <w:szCs w:val="24"/>
          <w:lang w:val="ro-RO"/>
        </w:rPr>
      </w:pPr>
      <w:r w:rsidRPr="009C2835">
        <w:rPr>
          <w:rFonts w:ascii="Book Antiqua" w:hAnsi="Book Antiqua"/>
          <w:sz w:val="24"/>
          <w:szCs w:val="24"/>
          <w:lang w:val="ro-RO"/>
        </w:rPr>
        <w:t xml:space="preserve">Beneficii: </w:t>
      </w:r>
      <w:r w:rsidRPr="009C2835">
        <w:rPr>
          <w:rFonts w:ascii="Book Antiqua" w:hAnsi="Book Antiqua"/>
          <w:i/>
          <w:sz w:val="24"/>
          <w:szCs w:val="24"/>
          <w:lang w:val="ro-RO"/>
        </w:rPr>
        <w:t>studen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ii no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ș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tri vor beneficia de acces la resurse educa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ionale de top, utilizarea platformei educa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ionale online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Moodle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, acces la laboratoare de specialitate, programe de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mobilităţi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internaţionale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,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internship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>-uri în organiza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ii, workshop-uri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 concursuri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studenţeşti;i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>, activită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 extra-curriculare. </w:t>
      </w:r>
    </w:p>
    <w:p w14:paraId="582F1080" w14:textId="77777777" w:rsidR="00B23A7B" w:rsidRPr="00126F1B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2098F39D" w14:textId="77777777" w:rsidR="00B23A7B" w:rsidRPr="00B52D60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</w:rPr>
      </w:pPr>
      <w:r w:rsidRPr="00B52D60">
        <w:rPr>
          <w:rFonts w:ascii="Book Antiqua" w:hAnsi="Book Antiqua" w:cs="Times New Roman"/>
          <w:sz w:val="24"/>
          <w:szCs w:val="24"/>
          <w:lang w:val="ro-RO"/>
        </w:rPr>
        <w:t>Studen</w:t>
      </w:r>
      <w:r w:rsidRPr="00B52D60">
        <w:rPr>
          <w:rFonts w:ascii="Cambria" w:hAnsi="Cambria" w:cs="Cambria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sz w:val="24"/>
          <w:szCs w:val="24"/>
          <w:lang w:val="ro-RO"/>
        </w:rPr>
        <w:t xml:space="preserve">ii vor studia: 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Contabilitate financiară,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Finanţe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publice,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Finanţele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firmei, Economie europeană, Asigurări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reasigurări,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Finanţe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corporative, Gestiunea capitalului de lucru, Gestiunea financiară a firmei, Buget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trezorerie publică, Audit intern, Analiză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economico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-financiară, Gestiunea financiară a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instituţiilor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publice, Gestiune bancară,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Pieţe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capital, 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lastRenderedPageBreak/>
        <w:t xml:space="preserve">Evaluarea firmei,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Operaţiunile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instituţiilor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credit</w:t>
      </w:r>
      <w:r w:rsidRPr="00B52D60">
        <w:rPr>
          <w:rFonts w:ascii="Book Antiqua" w:hAnsi="Book Antiqua" w:cs="Times New Roman"/>
          <w:i/>
          <w:iCs/>
          <w:sz w:val="24"/>
          <w:szCs w:val="24"/>
        </w:rPr>
        <w:t>.</w:t>
      </w:r>
    </w:p>
    <w:p w14:paraId="26C6A434" w14:textId="77777777" w:rsidR="00B23A7B" w:rsidRPr="00126F1B" w:rsidRDefault="00B23A7B" w:rsidP="00B23A7B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2D963463" w14:textId="77777777" w:rsidR="00B23A7B" w:rsidRPr="00B52D60" w:rsidRDefault="00B23A7B" w:rsidP="00B23A7B">
      <w:pPr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Oportunită</w:t>
      </w:r>
      <w:r w:rsidRPr="00B52D60">
        <w:rPr>
          <w:rFonts w:ascii="Cambria" w:hAnsi="Cambria" w:cs="Cambria"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i de carier</w:t>
      </w:r>
      <w:r w:rsidRPr="00B52D60">
        <w:rPr>
          <w:rFonts w:ascii="Book Antiqua" w:hAnsi="Book Antiqua" w:cs="Book Antiqua"/>
          <w:w w:val="103"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:</w:t>
      </w:r>
      <w:r w:rsidRPr="00126F1B">
        <w:rPr>
          <w:rFonts w:ascii="Book Antiqua" w:hAnsi="Book Antiqua" w:cs="Times New Roman"/>
          <w:b/>
          <w:bCs/>
          <w:w w:val="103"/>
          <w:sz w:val="24"/>
          <w:szCs w:val="24"/>
          <w:lang w:val="ro-RO"/>
        </w:rPr>
        <w:t xml:space="preserve"> 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Absolven</w:t>
      </w:r>
      <w:r w:rsidRPr="00B52D60">
        <w:rPr>
          <w:rFonts w:ascii="Cambria" w:hAnsi="Cambria" w:cs="Cambria"/>
          <w:i/>
          <w:iCs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ii acestui program beneficiaz</w:t>
      </w:r>
      <w:r w:rsidRPr="00B52D60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 xml:space="preserve"> de multiple oportunit</w:t>
      </w:r>
      <w:r w:rsidRPr="00B52D60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B52D60">
        <w:rPr>
          <w:rFonts w:ascii="Cambria" w:hAnsi="Cambria" w:cs="Cambria"/>
          <w:i/>
          <w:iCs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 de angajare. Printre job-urile care se potrivesc absolven</w:t>
      </w:r>
      <w:r w:rsidRPr="00B52D60">
        <w:rPr>
          <w:rFonts w:ascii="Cambria" w:hAnsi="Cambria" w:cs="Cambria"/>
          <w:i/>
          <w:iCs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ilor se numără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: Comisar garda financiară; Consilier financiar-bancar; Inspector financiar-bancar; Inspector asigurări; Consultant bugetar; Analist investi</w:t>
      </w:r>
      <w:r w:rsidRPr="00B52D60">
        <w:rPr>
          <w:rFonts w:ascii="Cambria" w:hAnsi="Cambria" w:cs="Cambria"/>
          <w:i/>
          <w:iCs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ii; Consultant plasamente valori mobiliare; Agent capital de risc; Consultant fiscal; Economist bancar;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Ofiţer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bancar (credite, marketing, produse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servicii bancare)</w:t>
      </w:r>
    </w:p>
    <w:p w14:paraId="4EF4422C" w14:textId="77777777" w:rsidR="00B62DCB" w:rsidRDefault="00B62DCB"/>
    <w:sectPr w:rsidR="00B6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A0E"/>
    <w:multiLevelType w:val="hybridMultilevel"/>
    <w:tmpl w:val="E86AC8DA"/>
    <w:lvl w:ilvl="0" w:tplc="EA625AAA">
      <w:numFmt w:val="bullet"/>
      <w:lvlText w:val="-"/>
      <w:lvlJc w:val="left"/>
      <w:pPr>
        <w:ind w:left="720" w:hanging="360"/>
      </w:pPr>
      <w:rPr>
        <w:rFonts w:ascii="Book Antiqua" w:eastAsia="Verdana" w:hAnsi="Book Antiqu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75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7B"/>
    <w:rsid w:val="006C3A86"/>
    <w:rsid w:val="00742AB0"/>
    <w:rsid w:val="00B23A7B"/>
    <w:rsid w:val="00B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EEEF"/>
  <w15:chartTrackingRefBased/>
  <w15:docId w15:val="{02AFE958-B8AB-4519-9AB7-E0980A80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7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23A7B"/>
    <w:pPr>
      <w:ind w:left="3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Matei</dc:creator>
  <cp:keywords/>
  <dc:description/>
  <cp:lastModifiedBy>Mirabela Matei</cp:lastModifiedBy>
  <cp:revision>1</cp:revision>
  <dcterms:created xsi:type="dcterms:W3CDTF">2022-11-20T09:20:00Z</dcterms:created>
  <dcterms:modified xsi:type="dcterms:W3CDTF">2022-11-20T09:20:00Z</dcterms:modified>
</cp:coreProperties>
</file>