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26D7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126F1B">
        <w:rPr>
          <w:rFonts w:ascii="Book Antiqua" w:hAnsi="Book Antiqua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E05125" wp14:editId="2D95E71D">
                <wp:simplePos x="0" y="0"/>
                <wp:positionH relativeFrom="column">
                  <wp:posOffset>617220</wp:posOffset>
                </wp:positionH>
                <wp:positionV relativeFrom="paragraph">
                  <wp:posOffset>175260</wp:posOffset>
                </wp:positionV>
                <wp:extent cx="5343525" cy="1739265"/>
                <wp:effectExtent l="0" t="0" r="28575" b="13335"/>
                <wp:wrapNone/>
                <wp:docPr id="4" name="Dreptunghi cu colţuri rotunjite pe diagona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3926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07665" w14:textId="77777777" w:rsidR="002D4287" w:rsidRPr="00366C6E" w:rsidRDefault="002D4287" w:rsidP="002D4287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Programul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 w:rsidRPr="00867113">
                              <w:rPr>
                                <w:rFonts w:ascii="Bookman Old Style" w:hAnsi="Bookman Old Style"/>
                              </w:rPr>
                              <w:t>CONTABILITATE ŞI INFORMATICĂ DE GESTIUNE</w:t>
                            </w:r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14:paraId="295ABCEF" w14:textId="77777777" w:rsidR="002D4287" w:rsidRPr="00366C6E" w:rsidRDefault="002D4287" w:rsidP="002D4287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Domeniul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de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licenţă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CONTABILITATE</w:t>
                            </w:r>
                          </w:p>
                          <w:p w14:paraId="190EF82A" w14:textId="77777777" w:rsidR="002D4287" w:rsidRPr="00366C6E" w:rsidRDefault="002D4287" w:rsidP="002D4287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Licenţiat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în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Ştiinţe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Economice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05125" id="Dreptunghi cu colţuri rotunjite pe diagonală 1" o:spid="_x0000_s1026" style="position:absolute;left:0;text-align:left;margin-left:48.6pt;margin-top:13.8pt;width:420.75pt;height:136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3525,1739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fAbAIAACkFAAAOAAAAZHJzL2Uyb0RvYy54bWysVFFP2zAQfp+0/2D5faQNLRsVKapATJMQ&#10;IGDi2XXsJpLj885uk+7X7+ykKQK0h2l5cM6+u8/nz9/54rJrDNsp9DXYgk9PJpwpK6Gs7abgP59v&#10;vnzjzAdhS2HAqoLvleeXy8+fLlq3UDlUYEqFjECsX7Su4FUIbpFlXlaqEf4EnLLk1ICNCDTFTVai&#10;aAm9MVk+mZxlLWDpEKTynlaveydfJnytlQz3WnsVmCk41RbSiGlcxzFbXojFBoWrajmUIf6hikbU&#10;ljYdoa5FEGyL9TuoppYIHnQ4kdBkoHUtVToDnWY6eXOap0o4lc5C5Hg30uT/H6y82z25ByQaWucX&#10;nsx4ik5jE/9UH+sSWfuRLNUFJmlxfjo7nedzziT5pl9Pz/OzeaQzO6Y79OG7goZFo+AIW1vm17XY&#10;PNK9JLrE7taHPukQTAjHUpIV9kbFaox9VJrVJW2ep+ykEnVlkO0E3a+QUtkw7V2VKFW/PJ/QN1Q2&#10;ZqQ6E2BE1rUxI/YAEBX4HruvdYiPqSqJbEye/K2wPnnMSDuDDWNyU1vAjwAMnWrYuY8/kNRTE1kK&#10;3bqjkGiuodw/IEPo1e6dvKnpAm6FDw8CSd7UCNSy4Z4GbaAtOAwWZxXg74/WYzypjryctdQuBfe/&#10;tgIVZ+aHJT2eT2ez2F9pMpt/zWmCrz3r1x67ba6AbmxKj4OTyYzxwRxMjdC8UGev4q7kElbS3gWX&#10;AQ+Tq9C3Mb0NUq1WKYx6yolwa5+cjOCR4Cir5+5FoBtUGEjAd3BoLbF4I8E+NmZaWG0D6Drp88jr&#10;QD31Y9LQ8HbEhn89T1HHF275BwAA//8DAFBLAwQUAAYACAAAACEAIC2I7N0AAAAJAQAADwAAAGRy&#10;cy9kb3ducmV2LnhtbEyPQU+DQBSE7yb+h80z8WaX0gotZWmM2uhV6qHHV/YViOxbwm4B/73rSY+T&#10;mcx8k+9n04mRBtdaVrBcRCCIK6tbrhV8Hg8PGxDOI2vsLJOCb3KwL25vcsy0nfiDxtLXIpSwy1BB&#10;432fSemqhgy6he2Jg3exg0Ef5FBLPeAUyk0n4yhKpMGWw0KDPT03VH2VV6PgBd8OVMr2krzPdLSv&#10;6/U44Ump+7v5aQfC0+z/wvCLH9ChCExne2XtRKdgm8YhqSBOExDB3642KYizglW0fARZ5PL/g+IH&#10;AAD//wMAUEsBAi0AFAAGAAgAAAAhALaDOJL+AAAA4QEAABMAAAAAAAAAAAAAAAAAAAAAAFtDb250&#10;ZW50X1R5cGVzXS54bWxQSwECLQAUAAYACAAAACEAOP0h/9YAAACUAQAACwAAAAAAAAAAAAAAAAAv&#10;AQAAX3JlbHMvLnJlbHNQSwECLQAUAAYACAAAACEAW2nHwGwCAAApBQAADgAAAAAAAAAAAAAAAAAu&#10;AgAAZHJzL2Uyb0RvYy54bWxQSwECLQAUAAYACAAAACEAIC2I7N0AAAAJAQAADwAAAAAAAAAAAAAA&#10;AADGBAAAZHJzL2Rvd25yZXYueG1sUEsFBgAAAAAEAAQA8wAAANAFAAAAAA==&#10;" adj="-11796480,,5400" path="m289883,l5343525,r,l5343525,1449382v,160098,-129785,289883,-289883,289883l,1739265r,l,289883c,129785,129785,,289883,xe" fillcolor="#4472c4 [3204]" strokecolor="#1f3763 [1604]" strokeweight="1pt">
                <v:stroke joinstyle="miter"/>
                <v:formulas/>
                <v:path arrowok="t" o:connecttype="custom" o:connectlocs="289883,0;5343525,0;5343525,0;5343525,1449382;5053642,1739265;0,1739265;0,1739265;0,289883;289883,0" o:connectangles="0,0,0,0,0,0,0,0,0" textboxrect="0,0,5343525,1739265"/>
                <v:textbox>
                  <w:txbxContent>
                    <w:p w14:paraId="05D07665" w14:textId="77777777" w:rsidR="002D4287" w:rsidRPr="00366C6E" w:rsidRDefault="002D4287" w:rsidP="002D4287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Programul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 w:rsidRPr="00867113">
                        <w:rPr>
                          <w:rFonts w:ascii="Bookman Old Style" w:hAnsi="Bookman Old Style"/>
                        </w:rPr>
                        <w:t>CONTABILITATE ŞI INFORMATICĂ DE GESTIUNE</w:t>
                      </w:r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14:paraId="295ABCEF" w14:textId="77777777" w:rsidR="002D4287" w:rsidRPr="00366C6E" w:rsidRDefault="002D4287" w:rsidP="002D4287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Domeniul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de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licenţă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>CONTABILITATE</w:t>
                      </w:r>
                    </w:p>
                    <w:p w14:paraId="190EF82A" w14:textId="77777777" w:rsidR="002D4287" w:rsidRPr="00366C6E" w:rsidRDefault="002D4287" w:rsidP="002D4287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Licenţiat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în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Ştiinţe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Economice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706002B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C41210E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99DC8BD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752ACC67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5F09225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79233954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75B4BF1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47D4347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48AD5C2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4D373A95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ACF4E6E" w14:textId="77777777" w:rsidR="002D4287" w:rsidRPr="00B52D60" w:rsidRDefault="002D4287" w:rsidP="002D4287">
      <w:pPr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Misiunea programului de studii universitare de </w:t>
      </w:r>
      <w:proofErr w:type="spellStart"/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licenţă</w:t>
      </w:r>
      <w:proofErr w:type="spellEnd"/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Contabilitate </w:t>
      </w:r>
      <w:proofErr w:type="spellStart"/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şi</w:t>
      </w:r>
      <w:proofErr w:type="spellEnd"/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informatică de gestiune</w:t>
      </w:r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o reprezintă formarea, prin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activităţi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de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învăţământ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de cercetare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ştiinţifică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, adecvate specificului actual al mediului de afaceri intern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internaţional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, a unei categorii de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specialişti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în domeniul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contabilităţii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, care să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deţină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cunoştinţele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,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competenţele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abilităţile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necesare pentru a-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putea aduce aportul la dobândirea avantajelor competitive pe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piaţa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internă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internaţională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de către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organizaţiile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în cadrul cărora vor activa în calitate de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licenţiaţi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în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ştiinţe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economice -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specialişti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în domeniul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contabilităţii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- fiind capabili să îndeplinească sarcinile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operaţionale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specifice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ocupaţiilor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posibile pentru </w:t>
      </w:r>
      <w:proofErr w:type="spellStart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absolvenţii</w:t>
      </w:r>
      <w:proofErr w:type="spellEnd"/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acestui program de studii.</w:t>
      </w:r>
    </w:p>
    <w:p w14:paraId="5E00A5CE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9E5B37D" w14:textId="77777777" w:rsidR="002D4287" w:rsidRPr="00B52D60" w:rsidRDefault="002D4287" w:rsidP="002D4287">
      <w:p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Absolven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ii programul de licen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ț</w:t>
      </w:r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ă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Contabilitate </w:t>
      </w:r>
      <w:r w:rsidRPr="00B52D60">
        <w:rPr>
          <w:rFonts w:ascii="Cambria" w:eastAsia="Times New Roman" w:hAnsi="Cambria" w:cs="Cambria"/>
          <w:bCs/>
          <w:sz w:val="24"/>
          <w:szCs w:val="24"/>
          <w:lang w:val="ro-RO" w:eastAsia="ro-RO"/>
        </w:rPr>
        <w:t>ș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i informatic</w:t>
      </w:r>
      <w:r w:rsidRPr="00B52D60">
        <w:rPr>
          <w:rFonts w:ascii="Book Antiqua" w:eastAsia="Times New Roman" w:hAnsi="Book Antiqua" w:cs="Book Antiqua"/>
          <w:bCs/>
          <w:sz w:val="24"/>
          <w:szCs w:val="24"/>
          <w:lang w:val="ro-RO" w:eastAsia="ro-RO"/>
        </w:rPr>
        <w:t>ă</w:t>
      </w:r>
      <w:r w:rsidRPr="00B52D60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de gestiune vor </w:t>
      </w:r>
      <w:r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putea:</w:t>
      </w:r>
    </w:p>
    <w:p w14:paraId="5C23B294" w14:textId="77777777" w:rsidR="002D4287" w:rsidRPr="000F5031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-</w:t>
      </w: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ab/>
        <w:t xml:space="preserve">să organizeze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să conducă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evidenţa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contabilă pentru orice tip de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orgazaţie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/entitate;</w:t>
      </w:r>
    </w:p>
    <w:p w14:paraId="6086AE62" w14:textId="77777777" w:rsidR="002D4287" w:rsidRPr="000F5031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-</w:t>
      </w: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ab/>
        <w:t xml:space="preserve">să utilizeze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aplicaţii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informatice în domeniul financiar-contabil;</w:t>
      </w:r>
    </w:p>
    <w:p w14:paraId="29DCBE8B" w14:textId="77777777" w:rsidR="002D4287" w:rsidRPr="000F5031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-</w:t>
      </w: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ab/>
        <w:t xml:space="preserve">să aplice reglementările contabile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naţionale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a celor europene prevăzute în Directivele Contabile, Standardelor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Internaţionale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de Raportare Financiară;</w:t>
      </w:r>
    </w:p>
    <w:p w14:paraId="1486A547" w14:textId="77777777" w:rsidR="002D4287" w:rsidRPr="000F5031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-</w:t>
      </w: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ab/>
        <w:t xml:space="preserve">să cunoască problematica fiscală sub aspectul ansamblului de prelevări fiscale obligatorii, a metodelor, procedeelor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tehnicilor în domeniu, a reglementărilor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a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instituţiilor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cu caracter fiscal, precum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a procesului bugetar, atât la nivelul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administraţiei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centrale de stat, cât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la nivelul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autorităţilor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locale;</w:t>
      </w:r>
    </w:p>
    <w:p w14:paraId="0C7F52E9" w14:textId="77777777" w:rsidR="002D4287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-</w:t>
      </w:r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ab/>
        <w:t xml:space="preserve">să întocmească rapoarte financiare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şi</w:t>
      </w:r>
      <w:proofErr w:type="spellEnd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 xml:space="preserve"> fiscale pentru </w:t>
      </w:r>
      <w:proofErr w:type="spellStart"/>
      <w:r w:rsidRPr="000F5031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organizaţii</w:t>
      </w:r>
      <w:proofErr w:type="spellEnd"/>
      <w:r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.</w:t>
      </w:r>
    </w:p>
    <w:p w14:paraId="0B9C7E61" w14:textId="77777777" w:rsidR="002D4287" w:rsidRPr="000F5031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</w:p>
    <w:p w14:paraId="0DA8F887" w14:textId="77777777" w:rsidR="002D4287" w:rsidRPr="009C2835" w:rsidRDefault="002D4287" w:rsidP="002D4287">
      <w:pPr>
        <w:spacing w:before="120" w:after="120"/>
        <w:jc w:val="both"/>
        <w:rPr>
          <w:rFonts w:ascii="Book Antiqua" w:hAnsi="Book Antiqua"/>
          <w:i/>
          <w:sz w:val="24"/>
          <w:szCs w:val="24"/>
          <w:lang w:val="ro-RO"/>
        </w:rPr>
      </w:pPr>
      <w:r w:rsidRPr="009C2835">
        <w:rPr>
          <w:rFonts w:ascii="Book Antiqua" w:hAnsi="Book Antiqua"/>
          <w:sz w:val="24"/>
          <w:szCs w:val="24"/>
          <w:lang w:val="ro-RO"/>
        </w:rPr>
        <w:t xml:space="preserve">Beneficii: </w:t>
      </w:r>
      <w:r w:rsidRPr="009C2835">
        <w:rPr>
          <w:rFonts w:ascii="Book Antiqua" w:hAnsi="Book Antiqua"/>
          <w:i/>
          <w:sz w:val="24"/>
          <w:szCs w:val="24"/>
          <w:lang w:val="ro-RO"/>
        </w:rPr>
        <w:t>studen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ii no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ș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tri vor beneficia de acces la resurse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ionale de top, utilizarea platformei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ionale online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Moodle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acces la laboratoare de specialitate, programe de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mobilităţi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internship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-uri în organiza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ii, workshop-uri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concursuri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studenţeşti;i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, activită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 extra-curriculare. </w:t>
      </w:r>
    </w:p>
    <w:p w14:paraId="265309BE" w14:textId="77777777" w:rsidR="002D4287" w:rsidRPr="00126F1B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AA9886D" w14:textId="77777777" w:rsidR="002D4287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Studen</w:t>
      </w:r>
      <w:r w:rsidRPr="00B52D60">
        <w:rPr>
          <w:rFonts w:ascii="Cambria" w:hAnsi="Cambria" w:cs="Cambria"/>
          <w:b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 xml:space="preserve">ii vor studia discipline cum ar fi: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Sisteme informatice de gestiune,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Preţuri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concurenţă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Contabilitatea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instituţiilor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publice, Doctrina si deontologia profesiei contabile, Contabilitate aplicată, Contabilitate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gestiune fiscal, Multimedia, Contabilitate de gestiune, Contabilitatea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instituţiilor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credit, Sisteme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raportări financiare, Analiză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economico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-financiară, Evaluarea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intreprinderii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Pieţe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financiare, Expertiză contabilă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consultanţă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fiscal,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lastRenderedPageBreak/>
        <w:t>Control financiar, Contabilitate consolidate, Fiscalitate.</w:t>
      </w:r>
    </w:p>
    <w:p w14:paraId="34E3A599" w14:textId="77777777" w:rsidR="002D4287" w:rsidRDefault="002D4287" w:rsidP="002D4287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1C54BCEB" w14:textId="77777777" w:rsidR="002D4287" w:rsidRPr="008D7C35" w:rsidRDefault="002D4287" w:rsidP="002D4287">
      <w:pPr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</w:pP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Oportunită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 de carier</w:t>
      </w:r>
      <w:r w:rsidRPr="00B52D60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 xml:space="preserve">: 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Absolven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 acestui program beneficiaz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de multiple oportunit</w:t>
      </w:r>
      <w:r w:rsidRPr="00B52D60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B52D60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i de angajare. Printre job-urile care se potrivesc acestor studii se numără: </w:t>
      </w:r>
      <w:r w:rsidRPr="00B52D60">
        <w:rPr>
          <w:rFonts w:ascii="Book Antiqua" w:eastAsia="Times New Roman" w:hAnsi="Book Antiqua" w:cs="Times New Roman"/>
          <w:i/>
          <w:iCs/>
          <w:sz w:val="24"/>
          <w:szCs w:val="24"/>
          <w:lang w:val="ro-RO" w:eastAsia="ro-RO"/>
        </w:rPr>
        <w:t>Revizor contabil; Referent de specialitate financiar-contabilitate; Auditor intern; Controlor de gestiune; Controlor tezaur.</w:t>
      </w:r>
    </w:p>
    <w:p w14:paraId="4EF4422C" w14:textId="77777777" w:rsidR="00B62DCB" w:rsidRPr="002D4287" w:rsidRDefault="00B62DCB" w:rsidP="002D4287"/>
    <w:sectPr w:rsidR="00B62DCB" w:rsidRPr="002D4287" w:rsidSect="006418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5B0"/>
    <w:multiLevelType w:val="hybridMultilevel"/>
    <w:tmpl w:val="1E4A8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A0E"/>
    <w:multiLevelType w:val="hybridMultilevel"/>
    <w:tmpl w:val="E86AC8DA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1CA"/>
    <w:multiLevelType w:val="hybridMultilevel"/>
    <w:tmpl w:val="DC8C9EB0"/>
    <w:lvl w:ilvl="0" w:tplc="EA625AAA">
      <w:numFmt w:val="bullet"/>
      <w:lvlText w:val="-"/>
      <w:lvlJc w:val="left"/>
      <w:pPr>
        <w:ind w:left="318" w:hanging="183"/>
      </w:pPr>
      <w:rPr>
        <w:rFonts w:ascii="Book Antiqua" w:eastAsia="Verdana" w:hAnsi="Book Antiqua" w:cs="Times New Roman" w:hint="default"/>
        <w:spacing w:val="-2"/>
        <w:w w:val="103"/>
      </w:rPr>
    </w:lvl>
    <w:lvl w:ilvl="1" w:tplc="FFFFFFFF">
      <w:numFmt w:val="bullet"/>
      <w:lvlText w:val="•"/>
      <w:lvlJc w:val="left"/>
      <w:pPr>
        <w:ind w:left="1376" w:hanging="183"/>
      </w:pPr>
      <w:rPr>
        <w:rFonts w:hint="default"/>
      </w:rPr>
    </w:lvl>
    <w:lvl w:ilvl="2" w:tplc="FFFFFFFF">
      <w:numFmt w:val="bullet"/>
      <w:lvlText w:val="•"/>
      <w:lvlJc w:val="left"/>
      <w:pPr>
        <w:ind w:left="2432" w:hanging="183"/>
      </w:pPr>
      <w:rPr>
        <w:rFonts w:hint="default"/>
      </w:rPr>
    </w:lvl>
    <w:lvl w:ilvl="3" w:tplc="FFFFFFFF">
      <w:numFmt w:val="bullet"/>
      <w:lvlText w:val="•"/>
      <w:lvlJc w:val="left"/>
      <w:pPr>
        <w:ind w:left="3488" w:hanging="183"/>
      </w:pPr>
      <w:rPr>
        <w:rFonts w:hint="default"/>
      </w:rPr>
    </w:lvl>
    <w:lvl w:ilvl="4" w:tplc="FFFFFFFF">
      <w:numFmt w:val="bullet"/>
      <w:lvlText w:val="•"/>
      <w:lvlJc w:val="left"/>
      <w:pPr>
        <w:ind w:left="4544" w:hanging="183"/>
      </w:pPr>
      <w:rPr>
        <w:rFonts w:hint="default"/>
      </w:rPr>
    </w:lvl>
    <w:lvl w:ilvl="5" w:tplc="FFFFFFFF">
      <w:numFmt w:val="bullet"/>
      <w:lvlText w:val="•"/>
      <w:lvlJc w:val="left"/>
      <w:pPr>
        <w:ind w:left="5600" w:hanging="183"/>
      </w:pPr>
      <w:rPr>
        <w:rFonts w:hint="default"/>
      </w:rPr>
    </w:lvl>
    <w:lvl w:ilvl="6" w:tplc="FFFFFFFF">
      <w:numFmt w:val="bullet"/>
      <w:lvlText w:val="•"/>
      <w:lvlJc w:val="left"/>
      <w:pPr>
        <w:ind w:left="6656" w:hanging="183"/>
      </w:pPr>
      <w:rPr>
        <w:rFonts w:hint="default"/>
      </w:rPr>
    </w:lvl>
    <w:lvl w:ilvl="7" w:tplc="FFFFFFFF">
      <w:numFmt w:val="bullet"/>
      <w:lvlText w:val="•"/>
      <w:lvlJc w:val="left"/>
      <w:pPr>
        <w:ind w:left="7712" w:hanging="183"/>
      </w:pPr>
      <w:rPr>
        <w:rFonts w:hint="default"/>
      </w:rPr>
    </w:lvl>
    <w:lvl w:ilvl="8" w:tplc="FFFFFFFF">
      <w:numFmt w:val="bullet"/>
      <w:lvlText w:val="•"/>
      <w:lvlJc w:val="left"/>
      <w:pPr>
        <w:ind w:left="8768" w:hanging="183"/>
      </w:pPr>
      <w:rPr>
        <w:rFonts w:hint="default"/>
      </w:rPr>
    </w:lvl>
  </w:abstractNum>
  <w:abstractNum w:abstractNumId="3" w15:restartNumberingAfterBreak="0">
    <w:nsid w:val="6BDD5996"/>
    <w:multiLevelType w:val="hybridMultilevel"/>
    <w:tmpl w:val="B2366D6E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5261">
    <w:abstractNumId w:val="1"/>
  </w:num>
  <w:num w:numId="2" w16cid:durableId="1836843493">
    <w:abstractNumId w:val="0"/>
  </w:num>
  <w:num w:numId="3" w16cid:durableId="1172138796">
    <w:abstractNumId w:val="2"/>
  </w:num>
  <w:num w:numId="4" w16cid:durableId="238297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B"/>
    <w:rsid w:val="002D4287"/>
    <w:rsid w:val="0052035A"/>
    <w:rsid w:val="006C3A86"/>
    <w:rsid w:val="00742AB0"/>
    <w:rsid w:val="00AF36F4"/>
    <w:rsid w:val="00B23A7B"/>
    <w:rsid w:val="00B62DCB"/>
    <w:rsid w:val="00E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EEF"/>
  <w15:chartTrackingRefBased/>
  <w15:docId w15:val="{02AFE958-B8AB-4519-9AB7-E0980A80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23A7B"/>
    <w:pPr>
      <w:ind w:left="318"/>
    </w:pPr>
  </w:style>
  <w:style w:type="paragraph" w:styleId="BodyText">
    <w:name w:val="Body Text"/>
    <w:basedOn w:val="Normal"/>
    <w:link w:val="BodyTextChar"/>
    <w:uiPriority w:val="1"/>
    <w:qFormat/>
    <w:rsid w:val="00E27246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E27246"/>
    <w:rPr>
      <w:rFonts w:ascii="Verdana" w:eastAsia="Verdana" w:hAnsi="Verdana" w:cs="Verdana"/>
      <w:sz w:val="13"/>
      <w:szCs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2</cp:revision>
  <dcterms:created xsi:type="dcterms:W3CDTF">2022-11-20T09:22:00Z</dcterms:created>
  <dcterms:modified xsi:type="dcterms:W3CDTF">2022-11-20T09:22:00Z</dcterms:modified>
</cp:coreProperties>
</file>